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pPr>
      <w:bookmarkStart w:colFirst="0" w:colLast="0" w:name="_2zqrd5yoyjzv" w:id="0"/>
      <w:bookmarkEnd w:id="0"/>
      <w:r w:rsidDel="00000000" w:rsidR="00000000" w:rsidRPr="00000000">
        <w:rPr>
          <w:rtl w:val="0"/>
        </w:rPr>
        <w:t xml:space="preserve">Meeting Summary: Budget Review Commission</w:t>
      </w:r>
    </w:p>
    <w:p w:rsidR="00000000" w:rsidDel="00000000" w:rsidP="00000000" w:rsidRDefault="00000000" w:rsidRPr="00000000" w14:paraId="00000002">
      <w:pPr>
        <w:rPr/>
      </w:pPr>
      <w:r w:rsidDel="00000000" w:rsidR="00000000" w:rsidRPr="00000000">
        <w:rPr>
          <w:b w:val="1"/>
          <w:bCs w:val="1"/>
          <w:rtl w:val="0"/>
        </w:rPr>
        <w:t xml:space="preserve">Date:</w:t>
      </w:r>
      <w:r w:rsidDel="00000000" w:rsidR="00000000" w:rsidRPr="00000000">
        <w:rPr>
          <w:rtl w:val="0"/>
        </w:rPr>
        <w:t xml:space="preserve"> April 10, 2026 </w:t>
      </w:r>
    </w:p>
    <w:p w:rsidR="00000000" w:rsidDel="00000000" w:rsidP="00000000" w:rsidRDefault="00000000" w:rsidRPr="00000000" w14:paraId="00000003">
      <w:pPr>
        <w:rPr/>
      </w:pPr>
      <w:r w:rsidDel="00000000" w:rsidR="00000000" w:rsidRPr="00000000">
        <w:rPr>
          <w:b w:val="1"/>
          <w:bCs w:val="1"/>
          <w:rtl w:val="0"/>
        </w:rPr>
        <w:t xml:space="preserve">Subject:</w:t>
      </w:r>
      <w:r w:rsidDel="00000000" w:rsidR="00000000" w:rsidRPr="00000000">
        <w:rPr>
          <w:rtl w:val="0"/>
        </w:rPr>
        <w:t xml:space="preserve"> FY 2026-2027 Proposed Budget, Capital Improvement Plan (CIP), Water Resources, Transportation, Grants, and Ambulance Funds</w:t>
      </w:r>
    </w:p>
    <w:p w:rsidR="00000000" w:rsidDel="00000000" w:rsidP="00000000" w:rsidRDefault="00000000" w:rsidRPr="00000000" w14:paraId="00000004">
      <w:pPr>
        <w:pStyle w:val="Heading4"/>
        <w:rPr/>
      </w:pPr>
      <w:bookmarkStart w:colFirst="0" w:colLast="0" w:name="_ys0vynfwgyos" w:id="1"/>
      <w:bookmarkEnd w:id="1"/>
      <w:r w:rsidDel="00000000" w:rsidR="00000000" w:rsidRPr="00000000">
        <w:rPr>
          <w:rtl w:val="0"/>
        </w:rPr>
        <w:t xml:space="preserve">1. Proposed FY 2026-2027 Budget Overview &amp; Operating Efficiencies</w:t>
      </w:r>
    </w:p>
    <w:p w:rsidR="00000000" w:rsidDel="00000000" w:rsidP="00000000" w:rsidRDefault="00000000" w:rsidRPr="00000000" w14:paraId="00000005">
      <w:pPr>
        <w:rPr/>
      </w:pPr>
      <w:r w:rsidDel="00000000" w:rsidR="00000000" w:rsidRPr="00000000">
        <w:rPr>
          <w:rtl w:val="0"/>
        </w:rPr>
        <w:t xml:space="preserve">The Commission began its review of the proposed FY 2026-2027 budget, which totals $2.118 billion—a net decrease of 3.8% compared to the current fiscal year 2, 3. The budget consists of $838 million for operations, $882 million for capital improvements, and nearly $400 million for contingencies and reserves </w:t>
      </w:r>
    </w:p>
    <w:p w:rsidR="00000000" w:rsidDel="00000000" w:rsidP="00000000" w:rsidRDefault="00000000" w:rsidRPr="00000000" w14:paraId="00000006">
      <w:pPr>
        <w:numPr>
          <w:ilvl w:val="0"/>
          <w:numId w:val="5"/>
        </w:numPr>
        <w:spacing w:after="0" w:afterAutospacing="0"/>
        <w:ind w:left="720" w:hanging="360"/>
        <w:rPr>
          <w:u w:val="none"/>
        </w:rPr>
      </w:pPr>
      <w:r w:rsidDel="00000000" w:rsidR="00000000" w:rsidRPr="00000000">
        <w:rPr>
          <w:b w:val="1"/>
          <w:bCs w:val="1"/>
          <w:rtl w:val="0"/>
        </w:rPr>
        <w:t xml:space="preserve">"10% and 2% Challenge":</w:t>
      </w:r>
      <w:r w:rsidDel="00000000" w:rsidR="00000000" w:rsidRPr="00000000">
        <w:rPr>
          <w:rtl w:val="0"/>
        </w:rPr>
        <w:t xml:space="preserve"> City Manager Greg Caton detailed a new budget process designed to find operational efficiencies across the city's 2,700-person workforce 4. Departments were challenged to model a 10% line-item cut and a 2% reduction in staff (specifically targeting long-vacant positions) 5-7.</w:t>
      </w:r>
    </w:p>
    <w:p w:rsidR="00000000" w:rsidDel="00000000" w:rsidP="00000000" w:rsidRDefault="00000000" w:rsidRPr="00000000" w14:paraId="00000007">
      <w:pPr>
        <w:numPr>
          <w:ilvl w:val="0"/>
          <w:numId w:val="5"/>
        </w:numPr>
        <w:spacing w:before="0" w:beforeAutospacing="0"/>
        <w:ind w:left="720" w:hanging="360"/>
        <w:rPr>
          <w:u w:val="none"/>
        </w:rPr>
      </w:pPr>
      <w:r w:rsidDel="00000000" w:rsidR="00000000" w:rsidRPr="00000000">
        <w:rPr>
          <w:b w:val="1"/>
          <w:bCs w:val="1"/>
          <w:rtl w:val="0"/>
        </w:rPr>
        <w:t xml:space="preserve">Staffing Impacts:</w:t>
      </w:r>
      <w:r w:rsidDel="00000000" w:rsidR="00000000" w:rsidRPr="00000000">
        <w:rPr>
          <w:rtl w:val="0"/>
        </w:rPr>
        <w:t xml:space="preserve"> This exercise resulted in the elimination of nearly 49 vacant positions 8. However, the city is strategically adding roles in critical service areas, such as 22 positions for the ambulance service rollout and 6 parks positions, resulting in a net citywide reduction of 8.33 Full-Time Equivalents (FTEs).</w:t>
      </w:r>
    </w:p>
    <w:p w:rsidR="00000000" w:rsidDel="00000000" w:rsidP="00000000" w:rsidRDefault="00000000" w:rsidRPr="00000000" w14:paraId="00000008">
      <w:pPr>
        <w:pStyle w:val="Heading4"/>
        <w:rPr>
          <w:b w:val="1"/>
          <w:bCs w:val="1"/>
        </w:rPr>
      </w:pPr>
      <w:bookmarkStart w:colFirst="0" w:colLast="0" w:name="_arygf3cy7snt" w:id="2"/>
      <w:bookmarkEnd w:id="2"/>
      <w:r w:rsidDel="00000000" w:rsidR="00000000" w:rsidRPr="00000000">
        <w:rPr>
          <w:b w:val="1"/>
          <w:bCs w:val="1"/>
          <w:rtl w:val="0"/>
        </w:rPr>
        <w:t xml:space="preserve">2. Water Resources &amp; Capital Planning</w:t>
      </w:r>
    </w:p>
    <w:p w:rsidR="00000000" w:rsidDel="00000000" w:rsidP="00000000" w:rsidRDefault="00000000" w:rsidRPr="00000000" w14:paraId="00000009">
      <w:pPr>
        <w:rPr/>
      </w:pPr>
      <w:r w:rsidDel="00000000" w:rsidR="00000000" w:rsidRPr="00000000">
        <w:rPr>
          <w:rtl w:val="0"/>
        </w:rPr>
        <w:t xml:space="preserve">Water infrastructure and the removal of certain projects from the five-year CIP remained a central topic following citizen concerns about long-term drought preparedness 11-13.</w:t>
      </w:r>
    </w:p>
    <w:p w:rsidR="00000000" w:rsidDel="00000000" w:rsidP="00000000" w:rsidRDefault="00000000" w:rsidRPr="00000000" w14:paraId="0000000A">
      <w:pPr>
        <w:numPr>
          <w:ilvl w:val="0"/>
          <w:numId w:val="3"/>
        </w:numPr>
        <w:spacing w:after="0" w:afterAutospacing="0"/>
        <w:ind w:left="720" w:hanging="360"/>
        <w:rPr>
          <w:u w:val="none"/>
        </w:rPr>
      </w:pPr>
      <w:r w:rsidDel="00000000" w:rsidR="00000000" w:rsidRPr="00000000">
        <w:rPr>
          <w:b w:val="1"/>
          <w:bCs w:val="1"/>
          <w:rtl w:val="0"/>
        </w:rPr>
        <w:t xml:space="preserve">Advanced Water Purification (AWP) &amp; Bartlett Dam:</w:t>
      </w:r>
      <w:r w:rsidDel="00000000" w:rsidR="00000000" w:rsidRPr="00000000">
        <w:rPr>
          <w:rtl w:val="0"/>
        </w:rPr>
        <w:t xml:space="preserve"> Staff clarified that these projects have not been canceled. The Bartlett Dam feasibility study remains funded in the operating budget. Due to new, stricter Arizona Department of Environmental Quality (ADEQ) rules, capital estimates for AWP have ballooned from $15–$20 million to roughly $67 million, necessitating further study before committing construction funds. Consequently, a $100 million "Source and Supply" placeholder was created for FY 2027-2028 to provide the City Council flexibility once exact costs are known. </w:t>
      </w:r>
    </w:p>
    <w:p w:rsidR="00000000" w:rsidDel="00000000" w:rsidP="00000000" w:rsidRDefault="00000000" w:rsidRPr="00000000" w14:paraId="0000000B">
      <w:pPr>
        <w:numPr>
          <w:ilvl w:val="0"/>
          <w:numId w:val="3"/>
        </w:numPr>
        <w:spacing w:after="0" w:afterAutospacing="0" w:before="0" w:beforeAutospacing="0"/>
        <w:ind w:left="720" w:hanging="360"/>
        <w:rPr>
          <w:u w:val="none"/>
        </w:rPr>
      </w:pPr>
      <w:r w:rsidDel="00000000" w:rsidR="00000000" w:rsidRPr="00000000">
        <w:rPr>
          <w:b w:val="1"/>
          <w:bCs w:val="1"/>
          <w:rtl w:val="0"/>
        </w:rPr>
        <w:t xml:space="preserve">Motion Passed:</w:t>
      </w:r>
      <w:r w:rsidDel="00000000" w:rsidR="00000000" w:rsidRPr="00000000">
        <w:rPr>
          <w:rtl w:val="0"/>
        </w:rPr>
        <w:t xml:space="preserve"> To ensure transparent tracking of water investments, the BRC unanimously passed a motion recommending that once capital and operating cost studies for AWP are fully complete, the project must be returned to the proposed budget as a specific line item..</w:t>
      </w:r>
    </w:p>
    <w:p w:rsidR="00000000" w:rsidDel="00000000" w:rsidP="00000000" w:rsidRDefault="00000000" w:rsidRPr="00000000" w14:paraId="0000000C">
      <w:pPr>
        <w:numPr>
          <w:ilvl w:val="0"/>
          <w:numId w:val="3"/>
        </w:numPr>
        <w:spacing w:before="0" w:beforeAutospacing="0"/>
        <w:ind w:left="720" w:hanging="360"/>
        <w:rPr>
          <w:u w:val="none"/>
        </w:rPr>
      </w:pPr>
      <w:r w:rsidDel="00000000" w:rsidR="00000000" w:rsidRPr="00000000">
        <w:rPr>
          <w:b w:val="1"/>
          <w:bCs w:val="1"/>
          <w:rtl w:val="0"/>
        </w:rPr>
        <w:t xml:space="preserve">"Zombie Projects":</w:t>
      </w:r>
      <w:r w:rsidDel="00000000" w:rsidR="00000000" w:rsidRPr="00000000">
        <w:rPr>
          <w:rtl w:val="0"/>
        </w:rPr>
        <w:t xml:space="preserve"> Staff explained that certain long-term placeholders, such as a wastewater treatment plant expansion, were intentionally removed from the CIP because a combination of slowing population growth and increased citizen conservation reduced the immediate need for added capacity.</w:t>
      </w:r>
    </w:p>
    <w:p w:rsidR="00000000" w:rsidDel="00000000" w:rsidP="00000000" w:rsidRDefault="00000000" w:rsidRPr="00000000" w14:paraId="0000000D">
      <w:pPr>
        <w:pStyle w:val="Heading4"/>
        <w:rPr>
          <w:b w:val="1"/>
          <w:bCs w:val="1"/>
        </w:rPr>
      </w:pPr>
      <w:bookmarkStart w:colFirst="0" w:colLast="0" w:name="_cj1kd8wuzwqf" w:id="3"/>
      <w:bookmarkEnd w:id="3"/>
      <w:r w:rsidDel="00000000" w:rsidR="00000000" w:rsidRPr="00000000">
        <w:rPr>
          <w:b w:val="1"/>
          <w:bCs w:val="1"/>
          <w:rtl w:val="0"/>
        </w:rPr>
        <w:t xml:space="preserve">3. Transportation Infrastructure &amp; Funding Sustainability</w:t>
      </w:r>
    </w:p>
    <w:p w:rsidR="00000000" w:rsidDel="00000000" w:rsidP="00000000" w:rsidRDefault="00000000" w:rsidRPr="00000000" w14:paraId="0000000E">
      <w:pPr>
        <w:rPr/>
      </w:pPr>
      <w:r w:rsidDel="00000000" w:rsidR="00000000" w:rsidRPr="00000000">
        <w:rPr>
          <w:rtl w:val="0"/>
        </w:rPr>
        <w:t xml:space="preserve">The Commission reviewed the city's infrastructure investments, noting that maintaining existing assets requires significant ongoing capital.</w:t>
      </w:r>
    </w:p>
    <w:p w:rsidR="00000000" w:rsidDel="00000000" w:rsidP="00000000" w:rsidRDefault="00000000" w:rsidRPr="00000000" w14:paraId="0000000F">
      <w:pPr>
        <w:numPr>
          <w:ilvl w:val="0"/>
          <w:numId w:val="4"/>
        </w:numPr>
        <w:spacing w:after="0" w:afterAutospacing="0"/>
        <w:ind w:left="720" w:hanging="360"/>
        <w:rPr>
          <w:u w:val="none"/>
        </w:rPr>
      </w:pPr>
      <w:r w:rsidDel="00000000" w:rsidR="00000000" w:rsidRPr="00000000">
        <w:rPr>
          <w:b w:val="1"/>
          <w:bCs w:val="1"/>
          <w:rtl w:val="0"/>
        </w:rPr>
        <w:t xml:space="preserve">Pavement Preservation:</w:t>
      </w:r>
      <w:r w:rsidDel="00000000" w:rsidR="00000000" w:rsidRPr="00000000">
        <w:rPr>
          <w:rtl w:val="0"/>
        </w:rPr>
        <w:t xml:space="preserve"> Scottsdale's roads currently have a Pavement Condition Index (PCI) in the low 60s, while high-service communities typically target the mid-70s 23. To close this gap, the city is embarking on a five-year, $300 million investment plan, with $45.9 million allocated in the FY 2026-2027 budget.</w:t>
      </w:r>
    </w:p>
    <w:p w:rsidR="00000000" w:rsidDel="00000000" w:rsidP="00000000" w:rsidRDefault="00000000" w:rsidRPr="00000000" w14:paraId="00000010">
      <w:pPr>
        <w:numPr>
          <w:ilvl w:val="0"/>
          <w:numId w:val="4"/>
        </w:numPr>
        <w:spacing w:after="0" w:afterAutospacing="0" w:before="0" w:beforeAutospacing="0"/>
        <w:ind w:left="720" w:hanging="360"/>
        <w:rPr>
          <w:u w:val="none"/>
        </w:rPr>
      </w:pPr>
      <w:r w:rsidDel="00000000" w:rsidR="00000000" w:rsidRPr="00000000">
        <w:rPr>
          <w:b w:val="1"/>
          <w:bCs w:val="1"/>
          <w:rtl w:val="0"/>
        </w:rPr>
        <w:t xml:space="preserve">Funding Shortfalls:</w:t>
      </w:r>
      <w:r w:rsidDel="00000000" w:rsidR="00000000" w:rsidRPr="00000000">
        <w:rPr>
          <w:rtl w:val="0"/>
        </w:rPr>
        <w:t xml:space="preserve"> The dedicated 0.2% transportation sales tax is currently exhausted by existing transportation needs, forcing the city to use $10 million from the General Fund to support pavement preservation.</w:t>
      </w:r>
    </w:p>
    <w:p w:rsidR="00000000" w:rsidDel="00000000" w:rsidP="00000000" w:rsidRDefault="00000000" w:rsidRPr="00000000" w14:paraId="00000011">
      <w:pPr>
        <w:numPr>
          <w:ilvl w:val="0"/>
          <w:numId w:val="4"/>
        </w:numPr>
        <w:spacing w:after="0" w:afterAutospacing="0" w:before="0" w:beforeAutospacing="0"/>
        <w:ind w:left="720" w:hanging="360"/>
        <w:rPr>
          <w:u w:val="none"/>
        </w:rPr>
      </w:pPr>
      <w:r w:rsidDel="00000000" w:rsidR="00000000" w:rsidRPr="00000000">
        <w:rPr>
          <w:b w:val="1"/>
          <w:bCs w:val="1"/>
          <w:rtl w:val="0"/>
        </w:rPr>
        <w:t xml:space="preserve">Motion Passed:</w:t>
      </w:r>
      <w:r w:rsidDel="00000000" w:rsidR="00000000" w:rsidRPr="00000000">
        <w:rPr>
          <w:rtl w:val="0"/>
        </w:rPr>
        <w:t xml:space="preserve"> Acknowledging that the 0.2% tax was established when the city was much smaller, the BRC unanimously passed a motion recommending a formal evaluation of whether all mandated revenue funds and taxes are sufficient to support the city's infrastructure in the long term.</w:t>
      </w:r>
    </w:p>
    <w:p w:rsidR="00000000" w:rsidDel="00000000" w:rsidP="00000000" w:rsidRDefault="00000000" w:rsidRPr="00000000" w14:paraId="00000012">
      <w:pPr>
        <w:numPr>
          <w:ilvl w:val="0"/>
          <w:numId w:val="4"/>
        </w:numPr>
        <w:spacing w:before="0" w:beforeAutospacing="0"/>
        <w:ind w:left="720" w:hanging="360"/>
        <w:rPr>
          <w:u w:val="none"/>
        </w:rPr>
      </w:pPr>
      <w:r w:rsidDel="00000000" w:rsidR="00000000" w:rsidRPr="00000000">
        <w:rPr>
          <w:b w:val="1"/>
          <w:bCs w:val="1"/>
          <w:rtl w:val="0"/>
        </w:rPr>
        <w:t xml:space="preserve">Shea Crosswalk Project:</w:t>
      </w:r>
      <w:r w:rsidDel="00000000" w:rsidR="00000000" w:rsidRPr="00000000">
        <w:rPr>
          <w:rtl w:val="0"/>
        </w:rPr>
        <w:t xml:space="preserve"> A resident provided public comment opposing a proposed $600k crosswalk (Hawk project) on Shea Blvd, citing traffic disruptions and lack of broad community need. Later in the meeting, a BRC motion to add the project to a future agenda for formal review failed due to a lack of a second.</w:t>
      </w:r>
    </w:p>
    <w:p w:rsidR="00000000" w:rsidDel="00000000" w:rsidP="00000000" w:rsidRDefault="00000000" w:rsidRPr="00000000" w14:paraId="00000013">
      <w:pPr>
        <w:pStyle w:val="Heading4"/>
        <w:rPr/>
      </w:pPr>
      <w:bookmarkStart w:colFirst="0" w:colLast="0" w:name="_ot2n2hw8qoqj" w:id="4"/>
      <w:bookmarkEnd w:id="4"/>
      <w:r w:rsidDel="00000000" w:rsidR="00000000" w:rsidRPr="00000000">
        <w:rPr>
          <w:rtl w:val="0"/>
        </w:rPr>
        <w:t xml:space="preserve">4. Human Services &amp; Federal Grant Reductions</w:t>
      </w:r>
    </w:p>
    <w:p w:rsidR="00000000" w:rsidDel="00000000" w:rsidP="00000000" w:rsidRDefault="00000000" w:rsidRPr="00000000" w14:paraId="00000014">
      <w:pPr>
        <w:rPr/>
      </w:pPr>
      <w:r w:rsidDel="00000000" w:rsidR="00000000" w:rsidRPr="00000000">
        <w:rPr>
          <w:rtl w:val="0"/>
        </w:rPr>
        <w:t xml:space="preserve">The BRC reviewed the Grants Fund, where significant concerns were raised regarding the potential elimination of federal funding that supports the city's most vulnerable populations, particularly low-income seniors.</w:t>
      </w:r>
    </w:p>
    <w:p w:rsidR="00000000" w:rsidDel="00000000" w:rsidP="00000000" w:rsidRDefault="00000000" w:rsidRPr="00000000" w14:paraId="00000015">
      <w:pPr>
        <w:numPr>
          <w:ilvl w:val="0"/>
          <w:numId w:val="2"/>
        </w:numPr>
        <w:spacing w:after="0" w:afterAutospacing="0"/>
        <w:ind w:left="720" w:hanging="360"/>
        <w:rPr>
          <w:u w:val="none"/>
        </w:rPr>
      </w:pPr>
      <w:r w:rsidDel="00000000" w:rsidR="00000000" w:rsidRPr="00000000">
        <w:rPr>
          <w:b w:val="1"/>
          <w:bCs w:val="1"/>
          <w:rtl w:val="0"/>
        </w:rPr>
        <w:t xml:space="preserve">Funding Cliff:</w:t>
      </w:r>
      <w:r w:rsidDel="00000000" w:rsidR="00000000" w:rsidRPr="00000000">
        <w:rPr>
          <w:rtl w:val="0"/>
        </w:rPr>
        <w:t xml:space="preserve"> Programs that provide utility assistance (LIHEAP), home weatherization, and housing vouchers face severe cuts or total elimination in upcoming federal budgets. Alternative community safety nets (e.g., St. Vincent de Paul, county programs) are also reportedly out of funds.</w:t>
      </w:r>
    </w:p>
    <w:p w:rsidR="00000000" w:rsidDel="00000000" w:rsidP="00000000" w:rsidRDefault="00000000" w:rsidRPr="00000000" w14:paraId="00000016">
      <w:pPr>
        <w:numPr>
          <w:ilvl w:val="0"/>
          <w:numId w:val="2"/>
        </w:numPr>
        <w:spacing w:before="0" w:beforeAutospacing="0"/>
        <w:ind w:left="720" w:hanging="360"/>
        <w:rPr>
          <w:u w:val="none"/>
        </w:rPr>
      </w:pPr>
      <w:r w:rsidDel="00000000" w:rsidR="00000000" w:rsidRPr="00000000">
        <w:rPr>
          <w:b w:val="1"/>
          <w:bCs w:val="1"/>
          <w:rtl w:val="0"/>
        </w:rPr>
        <w:t xml:space="preserve">Motion Passed:</w:t>
      </w:r>
      <w:r w:rsidDel="00000000" w:rsidR="00000000" w:rsidRPr="00000000">
        <w:rPr>
          <w:rtl w:val="0"/>
        </w:rPr>
        <w:t xml:space="preserve"> To proactively address this issue, the BRC unanimously passed a motion recommending the city study and develop a realistic contingency plan to protect vulnerable residents (especially seniors) from these federal cuts, and to explicitly evaluate the potential financial impact on the city's General Fund should local tax dollars be required to backfill the lost federal revenue.</w:t>
      </w:r>
    </w:p>
    <w:p w:rsidR="00000000" w:rsidDel="00000000" w:rsidP="00000000" w:rsidRDefault="00000000" w:rsidRPr="00000000" w14:paraId="00000017">
      <w:pPr>
        <w:pStyle w:val="Heading4"/>
        <w:rPr/>
      </w:pPr>
      <w:bookmarkStart w:colFirst="0" w:colLast="0" w:name="_ibmufbbsnt0f" w:id="5"/>
      <w:bookmarkEnd w:id="5"/>
      <w:r w:rsidDel="00000000" w:rsidR="00000000" w:rsidRPr="00000000">
        <w:rPr>
          <w:rtl w:val="0"/>
        </w:rPr>
        <w:t xml:space="preserve">5. Ambulance Operations &amp; Billing Efficiency</w:t>
      </w:r>
    </w:p>
    <w:p w:rsidR="00000000" w:rsidDel="00000000" w:rsidP="00000000" w:rsidRDefault="00000000" w:rsidRPr="00000000" w14:paraId="00000018">
      <w:pPr>
        <w:rPr/>
      </w:pPr>
      <w:r w:rsidDel="00000000" w:rsidR="00000000" w:rsidRPr="00000000">
        <w:rPr>
          <w:rtl w:val="0"/>
        </w:rPr>
        <w:t xml:space="preserve">The BRC evaluated the Ambulance Fund, which is seeing a 47% budget increase ($4.8 million) to support the Phase 3 rollout of city-run ambulance services (adding 22 FTEs).</w:t>
      </w:r>
    </w:p>
    <w:p w:rsidR="00000000" w:rsidDel="00000000" w:rsidP="00000000" w:rsidRDefault="00000000" w:rsidRPr="00000000" w14:paraId="00000019">
      <w:pPr>
        <w:numPr>
          <w:ilvl w:val="0"/>
          <w:numId w:val="1"/>
        </w:numPr>
        <w:spacing w:after="0" w:afterAutospacing="0"/>
        <w:ind w:left="720" w:hanging="360"/>
        <w:rPr>
          <w:u w:val="none"/>
        </w:rPr>
      </w:pPr>
      <w:r w:rsidDel="00000000" w:rsidR="00000000" w:rsidRPr="00000000">
        <w:rPr>
          <w:b w:val="1"/>
          <w:bCs w:val="1"/>
          <w:rtl w:val="0"/>
        </w:rPr>
        <w:t xml:space="preserve">Billing Collections:</w:t>
      </w:r>
      <w:r w:rsidDel="00000000" w:rsidR="00000000" w:rsidRPr="00000000">
        <w:rPr>
          <w:rtl w:val="0"/>
        </w:rPr>
        <w:t xml:space="preserve"> Commissioners scrutinized the fund's net collection rate, which is currently estimated at only 64% of gross billings..</w:t>
      </w:r>
    </w:p>
    <w:p w:rsidR="00000000" w:rsidDel="00000000" w:rsidP="00000000" w:rsidRDefault="00000000" w:rsidRPr="00000000" w14:paraId="0000001A">
      <w:pPr>
        <w:numPr>
          <w:ilvl w:val="0"/>
          <w:numId w:val="1"/>
        </w:numPr>
        <w:spacing w:before="0" w:beforeAutospacing="0"/>
        <w:ind w:left="720" w:hanging="360"/>
        <w:rPr>
          <w:u w:val="none"/>
        </w:rPr>
      </w:pPr>
      <w:r w:rsidDel="00000000" w:rsidR="00000000" w:rsidRPr="00000000">
        <w:rPr>
          <w:b w:val="1"/>
          <w:bCs w:val="1"/>
          <w:rtl w:val="0"/>
        </w:rPr>
        <w:t xml:space="preserve">Operational Adjustments:</w:t>
      </w:r>
      <w:r w:rsidDel="00000000" w:rsidR="00000000" w:rsidRPr="00000000">
        <w:rPr>
          <w:rtl w:val="0"/>
        </w:rPr>
        <w:t xml:space="preserve"> Staff noted that the volatility of Medicare and Medicaid reimbursements is a primary risk factor to cost recovery. To improve collections and lessen the burden on the General Fund, the city is actively working to improve the efficiency of its third-party medical biller and is evaluating whether bringing billing operations entirely in-house next fiscal year would improve financial returns.</w:t>
      </w:r>
    </w:p>
    <w:p w:rsidR="00000000" w:rsidDel="00000000" w:rsidP="00000000" w:rsidRDefault="00000000" w:rsidRPr="00000000" w14:paraId="0000001B">
      <w:pPr>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jc w:val="right"/>
      <w:rPr/>
    </w:pPr>
    <w:r w:rsidDel="00000000" w:rsidR="00000000" w:rsidRPr="00000000">
      <w:rPr>
        <w:rtl w:val="0"/>
      </w:rPr>
      <w:t xml:space="preserve">  Scottsdale BRC Meeting Summary 4/10/2026                                  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2"/>
        <w:szCs w:val="22"/>
        <w:lang w:val="en"/>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